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476</w:t>
      </w:r>
    </w:p>
    <w:p>
      <w:r>
        <w:t>Bundesgericht (BGE), 2000-10-02, DE</w:t>
      </w:r>
    </w:p>
    <w:p>
      <w:r>
        <w:rPr>
          <w:b/>
        </w:rPr>
        <w:t xml:space="preserve">Quelle: </w:t>
      </w:r>
      <w:r>
        <w:t>https://mcp.opencaselaw.ch/entscheid/bge_126 III 476</w:t>
      </w:r>
    </w:p>
    <w:p>
      <w:r>
        <w:t>FR: ATF 126 III 476</w:t>
      </w:r>
    </w:p>
    <w:p>
      <w:r>
        <w:t>IT: DTF 126 III 476</w:t>
      </w:r>
    </w:p>
    <w:p>
      <w:pPr>
        <w:pStyle w:val="Heading2"/>
      </w:pPr>
      <w:r>
        <w:t>Regeste</w:t>
      </w:r>
    </w:p>
    <w:p>
      <w:r>
        <w:t>Regeste Rückzug einer Betreibung durch den Gläubiger (Art. 8a Abs. 3 lit. c SchKG). Hat der Gläubiger die Betreibung zurückgezogen, darf das Betreibungsamt Dritten keine Kenntnis von der Betreibung geben. Dabei spielt es keine Rolle, wann der Rückzug erfolgt, insbesondere ob er vor oder nach der Zahlung stattgefunden hat (E. 1b).</w:t>
      </w:r>
    </w:p>
    <w:p>
      <w:pPr>
        <w:pStyle w:val="Heading2"/>
      </w:pPr>
      <w:r>
        <w:t>Erwägungen</w:t>
      </w:r>
    </w:p>
    <w:p>
      <w:r>
        <w:rPr>
          <w:b/>
        </w:rPr>
        <w:t>E. 1</w:t>
      </w:r>
    </w:p>
    <w:p>
      <w:r>
        <w:t>a) Das Obergericht führt aus, gemäss Art. 8a Abs. 3 lit. c SchKG gäben die Betreibungsämter Dritten von einer Betreibung keine Kenntnis, wenn der Gläubiger die Betreibung zurückgezogen habe. Aus den Materialien zur Gesetzesrevision gehe hervor, dass ursprünglich auch die Idee bestanden habe, in diese Bestimmung die Bezahlung der Forderung während des Einleitungsverfahrens aufzunehmen. Dies sei jedoch schliesslich unterlassen worden (vgl. Hinweis bei JAEGER/WALDER/KULL/KOTTMANN, Bundesgesetz über Schuldbetreibung und Konkurs, 4. Auflage 1997, N. 2 zu Art. 8a). Dies sei - e contrario - ein klarer Hinweis darauf, dass mit der heutigen Formulierung die Bezahlung und der anschliessende Rückzug durch den Gläubiger nicht dazu führe, dass Dritten keine Auskunft über die Betreibung mehr erteilt werde. Dies sei auch deshalb wichtig, weil die Bezahlung einer Betreibungsforderung zur Folge habe, dass die Betreibung als durch Bezahlung erledigt registriert werde. Die Gläubiger seien in aller Regel an der Aufrechterhaltung des Eintrags der Betreibung nicht mehr interessiert, wenn ihre Forderung beglichen worden sei. Käme der Schuldner - wie im vorliegenden Fall - durch die Rückzugserklärung in den Genuss von Art. 8a Abs. 3 lit. c SchKG , würde dem Missbrauch Tür und Tor geöffnet. Die Vorinstanz fährt fort, solches widerspräche jedoch nicht nur dem Sinn des Gesetzes, sondern sei auch begrifflich ausgeschlossen. Eine durch Zahlung erledigte Betreibung könne nämlich - da sie eben erledigt sei - gar nicht mehr zurückgezogen werden. b) Der Beschwerdeführer hält die Auffassung der Vorinstanz für bundesrechtswidrig. Nach seiner Ansicht fällt die Bezahlung der in Betreibung gesetzten Forderung verbunden mit dem vom Gläubiger dem Betreibungsamt angezeigten Rückzug der Betreibung klar unter Art. 8a Abs. 3 lit. c SchKG . Das ist zutreffend. Die von der Aufsichtsbehörde gestützt auf JAEGER/WALDER/KULL/KOTTMANN (a.a.O.) gezogene Schlussfolgerung hält nicht stand. Weder dem Gesetzeswortlaut noch den parlamentarischen BGE 126 III 476 S. 478 Beratungen können irgendwelche Vorbehalte entnommen werden (vgl. die Darstellung von PETER, Basler Kommentar, SchKG I, N. 27 f. zu Art. 8a). Das Bundesgericht habe in BGE 121 III 81 gestützt auf altes Recht erstmals entschieden, dass eine Betreibung nicht mehr eingesehen werden könne, wenn der Gläubiger eine irrtümlich angehobene Betreibung zurückziehe. Erforderlich sei aber, dass eine vom Gläubiger unterschriebene Erklärung beigebracht werde, in der dieser kurz den Irrtum und die Gründe, welche dazu geführt hätten, darlege, damit es dem Betreibungsamt möglich sei, problemlos berechtigte Gesuche von rechtsmissbräuchlichen zu unterscheiden ( BGE 121 III 81 E. 4b S. 84). Es sei ausgeschlossen, dass man mit der neu aufgenommenen Bestimmung die Vorstellungen dieses Entscheids ins Gesetz habe übernehmen wollen; im Unterschied zu diesem Urteil könne der Betreibungsbeamte gestützt auf Art. 8a Abs. 3 lit. c SchKG keine Erklärung mit Grundangabe vom Gläubiger verlangen. Die vom neuen Recht geschaffene Abweichung gegenüber der vom Bundesgericht geschaffenen Regel lasse sich durchaus rechtfertigen: Der Gläubiger werde wohl eine gewollte (im Unterschied zur irrtümlichen) Betreibung nur dann zurückziehen, wenn er dies dem Betriebenen im Rahmen einer Vereinbarung versprochen habe. Zu denken sei hier an einen Vergleich oder an ein Zahlungsversprechen des Betriebenen. Zum gleichen Schluss kommt auch GILLIÉRON (Commentaire de la loi fédérale sur la poursuite pour dettes et la faillite, articles 1-88, N. 50 ff. zu Art. 8a SchKG ). Dieser Autor folgert dazu weiter, habe der Gläubiger die Betreibung zurückgezogen - sei dies vor oder nach der Stellung des Fortsetzungsbegehrens -, müsse das Betreibungsamt diesen Sachverhalt in der Kolonne 20 des Betreibungsbuches mit dem Buchstaben E vermerken, d.h. dass das Erlöschen der Betreibung auf Grund eines Rückzugs seitens des Gläubigers erfolge ( Art. 10 VFRR ; SR 281.31). Wenn die Führung des Registers informatisiert sei, müsse sie so programmiert sein, dass die Daten mit Bezug auf eine solche Betreibung nicht auf einem Ausdruck erscheinen würden (GILLIÉRON, a.a.O., N. 51). Entgegen der Auffassung der Aufsichtsbehörde spielt es dabei keine Rolle, wann der Rückzug der Betreibung erfolgt, insbesondere ob er vor oder nach der Zahlung stattgefunden hat. Das angefochtene Urteil ist somit aufzuheben und das Betreibungsamt anzuweisen, die Betreibungen Nr. x und Nr. xx im Betreibungsbuch - so wie erwähnt - zu vermerken; und es hat dafür zu sorgen, dass Dritten hierüber keine Auskunft erteilt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